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3181B" w14:textId="78A04708" w:rsidR="009C3B55" w:rsidRDefault="009C3B55" w:rsidP="004A5EF1">
      <w:pPr>
        <w:contextualSpacing/>
        <w:jc w:val="center"/>
      </w:pPr>
    </w:p>
    <w:p w14:paraId="37D1E981" w14:textId="0AF7CD69" w:rsidR="004A5EF1" w:rsidRDefault="004A5EF1" w:rsidP="004A5EF1">
      <w:pPr>
        <w:contextualSpacing/>
        <w:jc w:val="center"/>
      </w:pPr>
    </w:p>
    <w:p w14:paraId="5F8FFCED" w14:textId="31E6EA63" w:rsidR="004A5EF1" w:rsidRDefault="004A5EF1" w:rsidP="004A5EF1">
      <w:pPr>
        <w:contextualSpacing/>
        <w:jc w:val="center"/>
      </w:pPr>
    </w:p>
    <w:p w14:paraId="02BAAD16" w14:textId="4E8EE5A8" w:rsidR="004A5EF1" w:rsidRDefault="004A5EF1" w:rsidP="004A5EF1">
      <w:pPr>
        <w:contextualSpacing/>
        <w:jc w:val="center"/>
      </w:pPr>
    </w:p>
    <w:p w14:paraId="5B0D2E81" w14:textId="7531C153" w:rsidR="004A5EF1" w:rsidRPr="004A5EF1" w:rsidRDefault="003968EC" w:rsidP="004A5EF1">
      <w:pPr>
        <w:contextualSpacing/>
        <w:jc w:val="center"/>
        <w:rPr>
          <w:b/>
          <w:bCs/>
        </w:rPr>
      </w:pPr>
      <w:r w:rsidRPr="004A5EF1">
        <w:rPr>
          <w:b/>
          <w:bCs/>
        </w:rPr>
        <w:t>Income Statement</w:t>
      </w:r>
    </w:p>
    <w:p w14:paraId="74CBA1A9" w14:textId="4305CE80" w:rsidR="004A5EF1" w:rsidRDefault="004A5EF1" w:rsidP="004A5EF1">
      <w:pPr>
        <w:contextualSpacing/>
        <w:jc w:val="center"/>
      </w:pPr>
    </w:p>
    <w:p w14:paraId="50CFD2F3" w14:textId="5F0263A6" w:rsidR="004A5EF1" w:rsidRDefault="003968EC" w:rsidP="004A5EF1">
      <w:pPr>
        <w:contextualSpacing/>
        <w:jc w:val="center"/>
      </w:pPr>
      <w:r>
        <w:t>Name</w:t>
      </w:r>
    </w:p>
    <w:p w14:paraId="37A7576A" w14:textId="25ECBFCF" w:rsidR="004A5EF1" w:rsidRDefault="003968EC" w:rsidP="004A5EF1">
      <w:pPr>
        <w:contextualSpacing/>
        <w:jc w:val="center"/>
      </w:pPr>
      <w:r>
        <w:t>Affiliation</w:t>
      </w:r>
    </w:p>
    <w:p w14:paraId="3F1BD150" w14:textId="126463C4" w:rsidR="004A5EF1" w:rsidRDefault="003968EC" w:rsidP="004A5EF1">
      <w:pPr>
        <w:contextualSpacing/>
        <w:jc w:val="center"/>
      </w:pPr>
      <w:r>
        <w:t>Date</w:t>
      </w:r>
    </w:p>
    <w:p w14:paraId="54B0D059" w14:textId="6E792562" w:rsidR="004A5EF1" w:rsidRDefault="004A5EF1" w:rsidP="004A5EF1">
      <w:pPr>
        <w:contextualSpacing/>
        <w:jc w:val="center"/>
      </w:pPr>
    </w:p>
    <w:p w14:paraId="389C1FD5" w14:textId="587DF256" w:rsidR="004A5EF1" w:rsidRDefault="004A5EF1" w:rsidP="004A5EF1">
      <w:pPr>
        <w:contextualSpacing/>
        <w:jc w:val="center"/>
      </w:pPr>
    </w:p>
    <w:p w14:paraId="72C6C3C7" w14:textId="4E5190C5" w:rsidR="004A5EF1" w:rsidRDefault="004A5EF1" w:rsidP="004A5EF1">
      <w:pPr>
        <w:contextualSpacing/>
        <w:jc w:val="center"/>
      </w:pPr>
    </w:p>
    <w:p w14:paraId="2A2BA990" w14:textId="6814C48A" w:rsidR="004A5EF1" w:rsidRDefault="004A5EF1" w:rsidP="004A5EF1">
      <w:pPr>
        <w:contextualSpacing/>
        <w:jc w:val="center"/>
      </w:pPr>
    </w:p>
    <w:p w14:paraId="7FC4CA0E" w14:textId="3B8878D1" w:rsidR="004A5EF1" w:rsidRDefault="004A5EF1" w:rsidP="004A5EF1">
      <w:pPr>
        <w:contextualSpacing/>
        <w:jc w:val="center"/>
      </w:pPr>
    </w:p>
    <w:p w14:paraId="7D8FBBF8" w14:textId="0E2B1554" w:rsidR="004A5EF1" w:rsidRDefault="004A5EF1" w:rsidP="004A5EF1">
      <w:pPr>
        <w:contextualSpacing/>
        <w:jc w:val="center"/>
      </w:pPr>
    </w:p>
    <w:p w14:paraId="25DDF14A" w14:textId="4E7E5915" w:rsidR="004A5EF1" w:rsidRDefault="004A5EF1" w:rsidP="004A5EF1">
      <w:pPr>
        <w:contextualSpacing/>
        <w:jc w:val="center"/>
      </w:pPr>
    </w:p>
    <w:p w14:paraId="602C531E" w14:textId="1F7D9399" w:rsidR="004A5EF1" w:rsidRDefault="004A5EF1" w:rsidP="004A5EF1">
      <w:pPr>
        <w:contextualSpacing/>
        <w:jc w:val="center"/>
      </w:pPr>
    </w:p>
    <w:p w14:paraId="2F940510" w14:textId="5C92FE4B" w:rsidR="004A5EF1" w:rsidRDefault="004A5EF1" w:rsidP="004A5EF1">
      <w:pPr>
        <w:contextualSpacing/>
        <w:jc w:val="center"/>
      </w:pPr>
    </w:p>
    <w:p w14:paraId="0E326807" w14:textId="3ECD93C8" w:rsidR="004A5EF1" w:rsidRDefault="004A5EF1" w:rsidP="004A5EF1">
      <w:pPr>
        <w:contextualSpacing/>
        <w:jc w:val="center"/>
      </w:pPr>
    </w:p>
    <w:p w14:paraId="6FAB452E" w14:textId="1889FAA3" w:rsidR="004A5EF1" w:rsidRDefault="004A5EF1" w:rsidP="004A5EF1">
      <w:pPr>
        <w:contextualSpacing/>
        <w:jc w:val="center"/>
      </w:pPr>
    </w:p>
    <w:p w14:paraId="0060FBB0" w14:textId="23A43275" w:rsidR="004A5EF1" w:rsidRDefault="004A5EF1" w:rsidP="004A5EF1">
      <w:pPr>
        <w:contextualSpacing/>
        <w:jc w:val="center"/>
      </w:pPr>
    </w:p>
    <w:p w14:paraId="6D3069BA" w14:textId="7554E7C6" w:rsidR="004A5EF1" w:rsidRDefault="004A5EF1" w:rsidP="004A5EF1">
      <w:pPr>
        <w:contextualSpacing/>
        <w:jc w:val="center"/>
      </w:pPr>
    </w:p>
    <w:p w14:paraId="554C83A6" w14:textId="736366B8" w:rsidR="004A5EF1" w:rsidRDefault="004A5EF1" w:rsidP="004A5EF1">
      <w:pPr>
        <w:contextualSpacing/>
        <w:jc w:val="center"/>
      </w:pPr>
    </w:p>
    <w:p w14:paraId="1489B497" w14:textId="77777777" w:rsidR="004A5EF1" w:rsidRPr="004A5EF1" w:rsidRDefault="003968EC" w:rsidP="004A5EF1">
      <w:pPr>
        <w:contextualSpacing/>
        <w:jc w:val="center"/>
        <w:rPr>
          <w:b/>
          <w:bCs/>
        </w:rPr>
      </w:pPr>
      <w:r w:rsidRPr="004A5EF1">
        <w:rPr>
          <w:b/>
          <w:bCs/>
        </w:rPr>
        <w:t>Income Statement</w:t>
      </w:r>
    </w:p>
    <w:p w14:paraId="4768A4DE" w14:textId="17979C7E" w:rsidR="004A5EF1" w:rsidRPr="009009F5" w:rsidRDefault="003968EC" w:rsidP="004A5EF1">
      <w:pPr>
        <w:ind w:left="0"/>
        <w:contextualSpacing/>
        <w:rPr>
          <w:b/>
          <w:bCs/>
        </w:rPr>
      </w:pPr>
      <w:r w:rsidRPr="009009F5">
        <w:rPr>
          <w:b/>
          <w:bCs/>
        </w:rPr>
        <w:lastRenderedPageBreak/>
        <w:t>Question One</w:t>
      </w:r>
    </w:p>
    <w:p w14:paraId="095E22B5" w14:textId="4FC37DCC" w:rsidR="009009F5" w:rsidRDefault="003968EC" w:rsidP="004A5EF1">
      <w:pPr>
        <w:ind w:left="0"/>
        <w:contextualSpacing/>
      </w:pPr>
      <w:r>
        <w:tab/>
        <w:t xml:space="preserve">A single-step income statement provides a simple report of a firm's </w:t>
      </w:r>
      <w:r w:rsidR="001D3AB8">
        <w:t>profit, utilizing</w:t>
      </w:r>
      <w:r>
        <w:t xml:space="preserve"> a single equation to evaluate the net income. It also offers expenses and revenue </w:t>
      </w:r>
      <w:r w:rsidR="001D3AB8">
        <w:t xml:space="preserve">values. </w:t>
      </w:r>
      <w:r>
        <w:t xml:space="preserve">Entire gains and revenues are totaled at the top of the statement, losses and expenses are counted at the </w:t>
      </w:r>
      <w:r w:rsidR="001D3AB8">
        <w:t>bottom. However, Multiple</w:t>
      </w:r>
      <w:r>
        <w:t xml:space="preserve">-step income statements categorize an expense as </w:t>
      </w:r>
      <w:r w:rsidR="00304B31">
        <w:t xml:space="preserve">non-operational costs or </w:t>
      </w:r>
      <w:r w:rsidR="00304B31" w:rsidRPr="0078038F">
        <w:rPr>
          <w:rFonts w:cs="Times New Roman"/>
          <w:szCs w:val="24"/>
        </w:rPr>
        <w:t xml:space="preserve">indirect </w:t>
      </w:r>
      <w:r w:rsidR="001D3AB8" w:rsidRPr="0078038F">
        <w:rPr>
          <w:rFonts w:cs="Times New Roman"/>
          <w:szCs w:val="24"/>
        </w:rPr>
        <w:t>costs. The</w:t>
      </w:r>
      <w:r w:rsidR="00304B31" w:rsidRPr="0078038F">
        <w:rPr>
          <w:rFonts w:cs="Times New Roman"/>
          <w:szCs w:val="24"/>
        </w:rPr>
        <w:t xml:space="preserve"> multi-step separates operational costs and revenue from non-operational ones</w:t>
      </w:r>
      <w:r w:rsidR="0078038F" w:rsidRPr="0078038F">
        <w:rPr>
          <w:rFonts w:cs="Times New Roman"/>
          <w:szCs w:val="24"/>
        </w:rPr>
        <w:t xml:space="preserve"> </w:t>
      </w:r>
      <w:r w:rsidR="0078038F" w:rsidRPr="0078038F">
        <w:rPr>
          <w:rFonts w:cs="Times New Roman"/>
          <w:szCs w:val="24"/>
          <w:shd w:val="clear" w:color="auto" w:fill="FFFFFF"/>
        </w:rPr>
        <w:t>(</w:t>
      </w:r>
      <w:proofErr w:type="spellStart"/>
      <w:r w:rsidR="0078038F" w:rsidRPr="0078038F">
        <w:rPr>
          <w:rFonts w:cs="Times New Roman"/>
          <w:szCs w:val="24"/>
          <w:shd w:val="clear" w:color="auto" w:fill="FFFFFF"/>
        </w:rPr>
        <w:t>Lessambo</w:t>
      </w:r>
      <w:proofErr w:type="spellEnd"/>
      <w:r w:rsidR="0078038F" w:rsidRPr="0078038F">
        <w:rPr>
          <w:rFonts w:cs="Times New Roman"/>
          <w:szCs w:val="24"/>
          <w:shd w:val="clear" w:color="auto" w:fill="FFFFFF"/>
        </w:rPr>
        <w:t>, 2018)</w:t>
      </w:r>
      <w:r w:rsidR="00304B31" w:rsidRPr="0078038F">
        <w:rPr>
          <w:rFonts w:cs="Times New Roman"/>
          <w:szCs w:val="24"/>
        </w:rPr>
        <w:t>.</w:t>
      </w:r>
    </w:p>
    <w:p w14:paraId="76A641F8" w14:textId="6CE22729" w:rsidR="00304B31" w:rsidRDefault="003968EC" w:rsidP="004A5EF1">
      <w:pPr>
        <w:ind w:left="0"/>
        <w:contextualSpacing/>
        <w:rPr>
          <w:b/>
          <w:bCs/>
        </w:rPr>
      </w:pPr>
      <w:r w:rsidRPr="00304B31">
        <w:rPr>
          <w:b/>
          <w:bCs/>
        </w:rPr>
        <w:t>Question Two</w:t>
      </w:r>
    </w:p>
    <w:p w14:paraId="29094577" w14:textId="47C97B6C" w:rsidR="00304B31" w:rsidRDefault="003968EC" w:rsidP="004A5EF1">
      <w:pPr>
        <w:ind w:left="0"/>
        <w:contextualSpacing/>
      </w:pPr>
      <w:r>
        <w:rPr>
          <w:b/>
          <w:bCs/>
        </w:rPr>
        <w:tab/>
      </w:r>
      <w:r>
        <w:t xml:space="preserve">A business segment is a portion of a firm that generates revenue from selling lines of products or </w:t>
      </w:r>
      <w:r w:rsidR="001D3AB8">
        <w:t>provi</w:t>
      </w:r>
      <w:r>
        <w:t>ding a service that separates the main line of focus for the firm.</w:t>
      </w:r>
    </w:p>
    <w:p w14:paraId="7D7CCA40" w14:textId="53821862" w:rsidR="00304B31" w:rsidRDefault="003968EC" w:rsidP="004A5EF1">
      <w:pPr>
        <w:ind w:left="0"/>
        <w:contextualSpacing/>
        <w:rPr>
          <w:b/>
          <w:bCs/>
        </w:rPr>
      </w:pPr>
      <w:r w:rsidRPr="00304B31">
        <w:rPr>
          <w:b/>
          <w:bCs/>
        </w:rPr>
        <w:t>Question Three</w:t>
      </w:r>
    </w:p>
    <w:p w14:paraId="40EE3BBF" w14:textId="1CE3485D" w:rsidR="00304B31" w:rsidRPr="00304B31" w:rsidRDefault="003968EC" w:rsidP="004A5EF1">
      <w:pPr>
        <w:ind w:left="0"/>
        <w:contextualSpacing/>
      </w:pPr>
      <w:r>
        <w:tab/>
      </w:r>
      <w:r w:rsidR="00143481">
        <w:t xml:space="preserve">Discontinued operations are listed separately as the income statement since investors must differentiate the cash flows and profits from continuing operations from the ceased </w:t>
      </w:r>
      <w:r w:rsidR="00143481" w:rsidRPr="0078038F">
        <w:rPr>
          <w:rFonts w:cs="Times New Roman"/>
          <w:szCs w:val="24"/>
        </w:rPr>
        <w:t>activities</w:t>
      </w:r>
      <w:r w:rsidR="0078038F" w:rsidRPr="0078038F">
        <w:rPr>
          <w:rFonts w:cs="Times New Roman"/>
          <w:szCs w:val="24"/>
        </w:rPr>
        <w:t xml:space="preserve"> </w:t>
      </w:r>
      <w:r w:rsidR="0078038F" w:rsidRPr="0078038F">
        <w:rPr>
          <w:rFonts w:cs="Times New Roman"/>
          <w:szCs w:val="24"/>
          <w:shd w:val="clear" w:color="auto" w:fill="FFFFFF"/>
        </w:rPr>
        <w:t>(Saito, 2013)</w:t>
      </w:r>
      <w:r w:rsidR="00143481" w:rsidRPr="0078038F">
        <w:rPr>
          <w:rFonts w:cs="Times New Roman"/>
          <w:szCs w:val="24"/>
        </w:rPr>
        <w:t>.</w:t>
      </w:r>
    </w:p>
    <w:p w14:paraId="3BED32A1" w14:textId="79768A93" w:rsidR="00304B31" w:rsidRDefault="003968EC" w:rsidP="004A5EF1">
      <w:pPr>
        <w:ind w:left="0"/>
        <w:contextualSpacing/>
      </w:pPr>
      <w:r w:rsidRPr="00143481">
        <w:rPr>
          <w:b/>
          <w:bCs/>
        </w:rPr>
        <w:t>Question Four</w:t>
      </w:r>
    </w:p>
    <w:p w14:paraId="53AF1CB7" w14:textId="472FD082" w:rsidR="00143481" w:rsidRDefault="003968EC" w:rsidP="004A5EF1">
      <w:pPr>
        <w:ind w:left="0"/>
        <w:contextualSpacing/>
      </w:pPr>
      <w:r>
        <w:tab/>
      </w:r>
      <w:r w:rsidR="002F643C">
        <w:t xml:space="preserve">The asset turnover ratio measures the efficiency of a firm’s assets in generating sales or </w:t>
      </w:r>
      <w:r w:rsidR="001D3AB8">
        <w:t>revenue. Such</w:t>
      </w:r>
      <w:r w:rsidR="002F643C">
        <w:t xml:space="preserve"> ratio compares the dollar amount of payments to its total asses as </w:t>
      </w:r>
      <w:r w:rsidR="001D3AB8">
        <w:t>a</w:t>
      </w:r>
      <w:r w:rsidR="002F643C">
        <w:t xml:space="preserve"> per annum </w:t>
      </w:r>
      <w:r w:rsidR="001D3AB8">
        <w:t>percentage</w:t>
      </w:r>
      <w:r w:rsidR="002F643C">
        <w:t xml:space="preserve"> focuses on the net income. Return on sale analyzes a firm's operational efficiency.</w:t>
      </w:r>
    </w:p>
    <w:p w14:paraId="25CEEA35" w14:textId="555B79C4" w:rsidR="002F643C" w:rsidRDefault="003968EC" w:rsidP="004A5EF1">
      <w:pPr>
        <w:ind w:left="0"/>
        <w:contextualSpacing/>
        <w:rPr>
          <w:b/>
          <w:bCs/>
        </w:rPr>
      </w:pPr>
      <w:r w:rsidRPr="00A036F7">
        <w:rPr>
          <w:b/>
          <w:bCs/>
        </w:rPr>
        <w:t xml:space="preserve">Question </w:t>
      </w:r>
      <w:r w:rsidR="00A036F7" w:rsidRPr="00A036F7">
        <w:rPr>
          <w:b/>
          <w:bCs/>
        </w:rPr>
        <w:t>Five</w:t>
      </w:r>
    </w:p>
    <w:p w14:paraId="315B2B59" w14:textId="33EE2407" w:rsidR="00A036F7" w:rsidRPr="00A036F7" w:rsidRDefault="003968EC" w:rsidP="004A5EF1">
      <w:pPr>
        <w:ind w:left="0"/>
        <w:contextualSpacing/>
      </w:pPr>
      <w:r>
        <w:rPr>
          <w:b/>
          <w:bCs/>
        </w:rPr>
        <w:tab/>
      </w:r>
      <w:r>
        <w:t xml:space="preserve">The </w:t>
      </w:r>
      <w:r w:rsidR="001D3AB8">
        <w:t>debt-to-equity</w:t>
      </w:r>
      <w:r>
        <w:t xml:space="preserve"> ratio is a formula that offers an analysis of how capital has been raised to run a </w:t>
      </w:r>
      <w:r w:rsidR="001D3AB8">
        <w:t>firm. It usually</w:t>
      </w:r>
      <w:r>
        <w:t xml:space="preserve"> is considered a crucial metric since it indicates the stability of a firm and its ability to raise additional capital to </w:t>
      </w:r>
      <w:r w:rsidR="001D3AB8">
        <w:t>grow. The debt</w:t>
      </w:r>
      <w:r>
        <w:t xml:space="preserve"> to equity ratio is also used to apply for business lines of credit or </w:t>
      </w:r>
      <w:r w:rsidR="001D3AB8">
        <w:t>loans. Besides</w:t>
      </w:r>
      <w:r>
        <w:t xml:space="preserve">, </w:t>
      </w:r>
      <w:r w:rsidR="001D3AB8">
        <w:t>investors</w:t>
      </w:r>
      <w:r>
        <w:t xml:space="preserve"> use this ratio to indicate how risky it is to invest in a </w:t>
      </w:r>
      <w:r w:rsidR="001D3AB8">
        <w:t>firm. The</w:t>
      </w:r>
      <w:r>
        <w:t xml:space="preserve"> level of the </w:t>
      </w:r>
      <w:r w:rsidR="001D3AB8">
        <w:t>debt-to-equity</w:t>
      </w:r>
      <w:r>
        <w:t xml:space="preserve"> ratio shows the level of risk associated with </w:t>
      </w:r>
      <w:r>
        <w:lastRenderedPageBreak/>
        <w:t xml:space="preserve">investing in that particular </w:t>
      </w:r>
      <w:r w:rsidR="001D3AB8">
        <w:t xml:space="preserve">firm. The debt to equity ratio is calculated by dividing the total liabilities by shareholders' equity. The total liabilities represent all a firm including the long term and short-term debts and all liabilities. Shareholders' equity is calculated by subtracting total liabilities </w:t>
      </w:r>
      <w:r w:rsidR="001D3AB8" w:rsidRPr="0078038F">
        <w:rPr>
          <w:rFonts w:cs="Times New Roman"/>
          <w:szCs w:val="24"/>
        </w:rPr>
        <w:t>from the assets</w:t>
      </w:r>
      <w:r w:rsidR="0078038F" w:rsidRPr="0078038F">
        <w:rPr>
          <w:rFonts w:cs="Times New Roman"/>
          <w:szCs w:val="24"/>
        </w:rPr>
        <w:t xml:space="preserve"> </w:t>
      </w:r>
      <w:r w:rsidR="0078038F" w:rsidRPr="0078038F">
        <w:rPr>
          <w:rFonts w:cs="Times New Roman"/>
          <w:szCs w:val="24"/>
          <w:shd w:val="clear" w:color="auto" w:fill="FFFFFF"/>
        </w:rPr>
        <w:t>("Financial corporations debt to equity ratio," 2017)</w:t>
      </w:r>
      <w:r w:rsidR="001D3AB8" w:rsidRPr="0078038F">
        <w:rPr>
          <w:rFonts w:cs="Times New Roman"/>
          <w:szCs w:val="24"/>
        </w:rPr>
        <w:t>.</w:t>
      </w:r>
    </w:p>
    <w:p w14:paraId="28999376" w14:textId="7BEE711A" w:rsidR="00143481" w:rsidRDefault="00143481" w:rsidP="004A5EF1">
      <w:pPr>
        <w:ind w:left="0"/>
        <w:contextualSpacing/>
      </w:pPr>
    </w:p>
    <w:p w14:paraId="0575DA60" w14:textId="154745F5" w:rsidR="0078038F" w:rsidRDefault="0078038F" w:rsidP="004A5EF1">
      <w:pPr>
        <w:ind w:left="0"/>
        <w:contextualSpacing/>
      </w:pPr>
    </w:p>
    <w:p w14:paraId="6A537A81" w14:textId="1F8F910A" w:rsidR="0078038F" w:rsidRDefault="0078038F" w:rsidP="004A5EF1">
      <w:pPr>
        <w:ind w:left="0"/>
        <w:contextualSpacing/>
      </w:pPr>
    </w:p>
    <w:p w14:paraId="61BBEEDE" w14:textId="01C7AA5F" w:rsidR="0078038F" w:rsidRDefault="0078038F" w:rsidP="004A5EF1">
      <w:pPr>
        <w:ind w:left="0"/>
        <w:contextualSpacing/>
      </w:pPr>
    </w:p>
    <w:p w14:paraId="63DFAB51" w14:textId="16BC3419" w:rsidR="0078038F" w:rsidRDefault="0078038F" w:rsidP="004A5EF1">
      <w:pPr>
        <w:ind w:left="0"/>
        <w:contextualSpacing/>
      </w:pPr>
    </w:p>
    <w:p w14:paraId="4D275C40" w14:textId="7A0AF3CA" w:rsidR="0078038F" w:rsidRDefault="0078038F" w:rsidP="004A5EF1">
      <w:pPr>
        <w:ind w:left="0"/>
        <w:contextualSpacing/>
      </w:pPr>
    </w:p>
    <w:p w14:paraId="113785D8" w14:textId="1A1673E2" w:rsidR="0078038F" w:rsidRDefault="0078038F" w:rsidP="004A5EF1">
      <w:pPr>
        <w:ind w:left="0"/>
        <w:contextualSpacing/>
      </w:pPr>
    </w:p>
    <w:p w14:paraId="6A68525B" w14:textId="3F2C622C" w:rsidR="0078038F" w:rsidRDefault="0078038F" w:rsidP="004A5EF1">
      <w:pPr>
        <w:ind w:left="0"/>
        <w:contextualSpacing/>
      </w:pPr>
    </w:p>
    <w:p w14:paraId="24BF0827" w14:textId="4FA895A9" w:rsidR="0078038F" w:rsidRDefault="0078038F" w:rsidP="004A5EF1">
      <w:pPr>
        <w:ind w:left="0"/>
        <w:contextualSpacing/>
      </w:pPr>
    </w:p>
    <w:p w14:paraId="118257E7" w14:textId="5072F4C9" w:rsidR="0078038F" w:rsidRDefault="0078038F" w:rsidP="004A5EF1">
      <w:pPr>
        <w:ind w:left="0"/>
        <w:contextualSpacing/>
      </w:pPr>
    </w:p>
    <w:p w14:paraId="6525A1E0" w14:textId="6FC00CED" w:rsidR="0078038F" w:rsidRDefault="0078038F" w:rsidP="004A5EF1">
      <w:pPr>
        <w:ind w:left="0"/>
        <w:contextualSpacing/>
      </w:pPr>
    </w:p>
    <w:p w14:paraId="35BCD849" w14:textId="28C2297C" w:rsidR="0078038F" w:rsidRDefault="0078038F" w:rsidP="004A5EF1">
      <w:pPr>
        <w:ind w:left="0"/>
        <w:contextualSpacing/>
      </w:pPr>
    </w:p>
    <w:p w14:paraId="3BBE4008" w14:textId="0CAB3F69" w:rsidR="0078038F" w:rsidRDefault="0078038F" w:rsidP="004A5EF1">
      <w:pPr>
        <w:ind w:left="0"/>
        <w:contextualSpacing/>
      </w:pPr>
    </w:p>
    <w:p w14:paraId="20AC6415" w14:textId="1088314E" w:rsidR="0078038F" w:rsidRDefault="0078038F" w:rsidP="004A5EF1">
      <w:pPr>
        <w:ind w:left="0"/>
        <w:contextualSpacing/>
      </w:pPr>
    </w:p>
    <w:p w14:paraId="53D82F3D" w14:textId="27990FF4" w:rsidR="0078038F" w:rsidRDefault="0078038F" w:rsidP="004A5EF1">
      <w:pPr>
        <w:ind w:left="0"/>
        <w:contextualSpacing/>
      </w:pPr>
    </w:p>
    <w:p w14:paraId="3605C07C" w14:textId="15B61B68" w:rsidR="0078038F" w:rsidRDefault="0078038F" w:rsidP="004A5EF1">
      <w:pPr>
        <w:ind w:left="0"/>
        <w:contextualSpacing/>
      </w:pPr>
    </w:p>
    <w:p w14:paraId="06462DC4" w14:textId="4D566888" w:rsidR="0078038F" w:rsidRDefault="0078038F" w:rsidP="004A5EF1">
      <w:pPr>
        <w:ind w:left="0"/>
        <w:contextualSpacing/>
      </w:pPr>
    </w:p>
    <w:p w14:paraId="36474DC1" w14:textId="77777777" w:rsidR="0078038F" w:rsidRPr="0078038F" w:rsidRDefault="0078038F" w:rsidP="0078038F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78038F">
        <w:rPr>
          <w:rFonts w:eastAsia="Times New Roman" w:cs="Times New Roman"/>
          <w:szCs w:val="24"/>
        </w:rPr>
        <w:t>References</w:t>
      </w:r>
    </w:p>
    <w:p w14:paraId="687EA626" w14:textId="77777777" w:rsidR="0078038F" w:rsidRPr="0078038F" w:rsidRDefault="0078038F" w:rsidP="0078038F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78038F">
        <w:rPr>
          <w:rFonts w:eastAsia="Times New Roman" w:cs="Times New Roman"/>
          <w:szCs w:val="24"/>
        </w:rPr>
        <w:t>Financial corporations debt to equity ratio. (2017). </w:t>
      </w:r>
      <w:r w:rsidRPr="0078038F">
        <w:rPr>
          <w:rFonts w:eastAsia="Times New Roman" w:cs="Times New Roman"/>
          <w:i/>
          <w:iCs/>
          <w:szCs w:val="24"/>
        </w:rPr>
        <w:t>Corporate</w:t>
      </w:r>
      <w:r w:rsidRPr="0078038F">
        <w:rPr>
          <w:rFonts w:eastAsia="Times New Roman" w:cs="Times New Roman"/>
          <w:szCs w:val="24"/>
        </w:rPr>
        <w:t>. </w:t>
      </w:r>
      <w:hyperlink r:id="rId6" w:history="1">
        <w:r w:rsidRPr="0078038F">
          <w:rPr>
            <w:rFonts w:eastAsia="Times New Roman" w:cs="Times New Roman"/>
            <w:szCs w:val="24"/>
            <w:u w:val="single"/>
          </w:rPr>
          <w:t>https://doi.org/10.1787/a3108a99-en</w:t>
        </w:r>
      </w:hyperlink>
    </w:p>
    <w:p w14:paraId="5DB8F31E" w14:textId="77777777" w:rsidR="0078038F" w:rsidRPr="0078038F" w:rsidRDefault="0078038F" w:rsidP="0078038F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78038F">
        <w:rPr>
          <w:rFonts w:eastAsia="Times New Roman" w:cs="Times New Roman"/>
          <w:szCs w:val="24"/>
        </w:rPr>
        <w:lastRenderedPageBreak/>
        <w:t>Lessambo</w:t>
      </w:r>
      <w:proofErr w:type="spellEnd"/>
      <w:r w:rsidRPr="0078038F">
        <w:rPr>
          <w:rFonts w:eastAsia="Times New Roman" w:cs="Times New Roman"/>
          <w:szCs w:val="24"/>
        </w:rPr>
        <w:t>, F. I. (2018). Analysis of the statement of income. </w:t>
      </w:r>
      <w:r w:rsidRPr="0078038F">
        <w:rPr>
          <w:rFonts w:eastAsia="Times New Roman" w:cs="Times New Roman"/>
          <w:i/>
          <w:iCs/>
          <w:szCs w:val="24"/>
        </w:rPr>
        <w:t>Financial Statements</w:t>
      </w:r>
      <w:r w:rsidRPr="0078038F">
        <w:rPr>
          <w:rFonts w:eastAsia="Times New Roman" w:cs="Times New Roman"/>
          <w:szCs w:val="24"/>
        </w:rPr>
        <w:t>, 149-157. </w:t>
      </w:r>
      <w:hyperlink r:id="rId7" w:history="1">
        <w:r w:rsidRPr="0078038F">
          <w:rPr>
            <w:rFonts w:eastAsia="Times New Roman" w:cs="Times New Roman"/>
            <w:szCs w:val="24"/>
            <w:u w:val="single"/>
          </w:rPr>
          <w:t>https://doi.org/10.1007/978-3-319-99984-5_12</w:t>
        </w:r>
      </w:hyperlink>
    </w:p>
    <w:p w14:paraId="1B53B4A5" w14:textId="77777777" w:rsidR="0078038F" w:rsidRPr="0078038F" w:rsidRDefault="0078038F" w:rsidP="0078038F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78038F">
        <w:rPr>
          <w:rFonts w:eastAsia="Times New Roman" w:cs="Times New Roman"/>
          <w:szCs w:val="24"/>
        </w:rPr>
        <w:t>Saito, Y. (2013). The reporting behavior, incentive, and post performance of discontinued operations. </w:t>
      </w:r>
      <w:r w:rsidRPr="0078038F">
        <w:rPr>
          <w:rFonts w:eastAsia="Times New Roman" w:cs="Times New Roman"/>
          <w:i/>
          <w:iCs/>
          <w:szCs w:val="24"/>
        </w:rPr>
        <w:t>SSRN Electronic Journal</w:t>
      </w:r>
      <w:r w:rsidRPr="0078038F">
        <w:rPr>
          <w:rFonts w:eastAsia="Times New Roman" w:cs="Times New Roman"/>
          <w:szCs w:val="24"/>
        </w:rPr>
        <w:t>. </w:t>
      </w:r>
      <w:hyperlink r:id="rId8" w:history="1">
        <w:r w:rsidRPr="0078038F">
          <w:rPr>
            <w:rFonts w:eastAsia="Times New Roman" w:cs="Times New Roman"/>
            <w:szCs w:val="24"/>
            <w:u w:val="single"/>
          </w:rPr>
          <w:t>https://doi.org/10.2139/ssrn.2201104</w:t>
        </w:r>
      </w:hyperlink>
    </w:p>
    <w:p w14:paraId="06F50951" w14:textId="77777777" w:rsidR="0078038F" w:rsidRDefault="0078038F" w:rsidP="004A5EF1">
      <w:pPr>
        <w:ind w:left="0"/>
        <w:contextualSpacing/>
      </w:pPr>
    </w:p>
    <w:sectPr w:rsidR="0078038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3E24D" w14:textId="77777777" w:rsidR="003968EC" w:rsidRDefault="003968EC">
      <w:pPr>
        <w:spacing w:after="0" w:line="240" w:lineRule="auto"/>
      </w:pPr>
      <w:r>
        <w:separator/>
      </w:r>
    </w:p>
  </w:endnote>
  <w:endnote w:type="continuationSeparator" w:id="0">
    <w:p w14:paraId="620573AF" w14:textId="77777777" w:rsidR="003968EC" w:rsidRDefault="0039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3D0D0" w14:textId="77777777" w:rsidR="003968EC" w:rsidRDefault="003968EC">
      <w:pPr>
        <w:spacing w:after="0" w:line="240" w:lineRule="auto"/>
      </w:pPr>
      <w:r>
        <w:separator/>
      </w:r>
    </w:p>
  </w:footnote>
  <w:footnote w:type="continuationSeparator" w:id="0">
    <w:p w14:paraId="79098CAD" w14:textId="77777777" w:rsidR="003968EC" w:rsidRDefault="0039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4623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3095FA" w14:textId="066E205E" w:rsidR="004A5EF1" w:rsidRDefault="003968E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C419F6" w14:textId="77777777" w:rsidR="004A5EF1" w:rsidRDefault="004A5E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F1"/>
    <w:rsid w:val="00143481"/>
    <w:rsid w:val="001C4CD1"/>
    <w:rsid w:val="001C63B8"/>
    <w:rsid w:val="001D3AB8"/>
    <w:rsid w:val="00264955"/>
    <w:rsid w:val="002853EC"/>
    <w:rsid w:val="002F643C"/>
    <w:rsid w:val="00304B31"/>
    <w:rsid w:val="00323F97"/>
    <w:rsid w:val="003968EC"/>
    <w:rsid w:val="004A5EF1"/>
    <w:rsid w:val="004F79B5"/>
    <w:rsid w:val="0078038F"/>
    <w:rsid w:val="007A3E1E"/>
    <w:rsid w:val="008E2C11"/>
    <w:rsid w:val="009009F5"/>
    <w:rsid w:val="00967A7A"/>
    <w:rsid w:val="009C3B55"/>
    <w:rsid w:val="00A036F7"/>
    <w:rsid w:val="00B00F3D"/>
    <w:rsid w:val="00BE0B2F"/>
    <w:rsid w:val="00BE6EC6"/>
    <w:rsid w:val="00CA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D11FF"/>
  <w15:chartTrackingRefBased/>
  <w15:docId w15:val="{DE40F82C-42B5-4387-9965-49C5DF55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EF1"/>
  </w:style>
  <w:style w:type="paragraph" w:styleId="Footer">
    <w:name w:val="footer"/>
    <w:basedOn w:val="Normal"/>
    <w:link w:val="FooterChar"/>
    <w:uiPriority w:val="99"/>
    <w:unhideWhenUsed/>
    <w:rsid w:val="004A5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EF1"/>
  </w:style>
  <w:style w:type="paragraph" w:styleId="NormalWeb">
    <w:name w:val="Normal (Web)"/>
    <w:basedOn w:val="Normal"/>
    <w:uiPriority w:val="99"/>
    <w:semiHidden/>
    <w:unhideWhenUsed/>
    <w:rsid w:val="0078038F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78038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80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39/ssrn.2201104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doi.org/10.1007/978-3-319-99984-5_12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787/a3108a99-en" TargetMode="Externa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2021-04-17T18:58:00Z</dcterms:created>
  <dcterms:modified xsi:type="dcterms:W3CDTF">2021-04-17T18:58:00Z</dcterms:modified>
</cp:coreProperties>
</file>